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  <w:t xml:space="preserve">По результатам изучения уголовного дела установлены основания для подачи искового заявления в интересах пенсионера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Прокуратурой Северо-Западного административного округа г. Москвы изучено уголовное дело по заявлению пенсионера С.Н.Г., 1946 г.р. по факту мошеннических действий.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Так, органами внутренних дел по заявлению С.Н.Г. о совершении в отношении нее мошеннических действий, следователем возбуждено уголовное дело по признакам преступления, предусмотренного ч. 3 ст. 159 УК РФ.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Постановлением следователя заявитель признана потерпевшей по уголовному делу, допрошена по обстоятельствам дела.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Следствием установлено, что заявителю поступил телефонный звонок с неизвестного номера через мессенджер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«WhatsApp»,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представившись сотрудником технической поддержки ЕМИАС.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ходе телефонного разговора неизвестные лица сообщили, что ей необходимо обновить приложение ЕМИАС, для чего прислали ссылку, по которой ей необходимо перейти, обновить приложение и сверить свои персональные данные.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Заявитель после обновления указанного приложения зашла в Онлайн банк ПАО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обнаружила списание денежных средств в размере 150 000 рублей со своего банковского счета через Систему Быстрых Платежей на неизвестный ей номер телефона.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ходе проведения оперативно-розыскных мероприятий установлено, что денежные средства, принадлежащие заявителю переведены по номеру телефона на банковскую карту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открытую в ПАО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Сбербанк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 имя Г.М.Э.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 с тем, денежные средства заявителю со стороны Г.М.Э. не возвращены, в связи с чем, у Г.М.Э. образовалось неосновательное обогащение в размере 150 000 рублей. 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Прокуратурой округа в интересах пенсионера в порядке         ст. 45 ГПК РФ в суд общей юрисдикции направлено исковое заявление о взыскании с Г.М.Э. неосновательного обогащения в размере 150 000 рублей. 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Рассмотрение заявленных требований контролируется прокуратурой округа. 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